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CD849" w14:textId="77777777" w:rsidR="009403FC" w:rsidRPr="000E377B" w:rsidRDefault="009403FC" w:rsidP="009403FC">
      <w:pPr>
        <w:pStyle w:val="Titre1"/>
        <w:numPr>
          <w:ilvl w:val="0"/>
          <w:numId w:val="0"/>
        </w:numPr>
        <w:spacing w:after="100" w:afterAutospacing="1"/>
        <w:ind w:left="432"/>
        <w:rPr>
          <w:rFonts w:ascii="Arial" w:hAnsi="Arial"/>
        </w:rPr>
      </w:pPr>
      <w:bookmarkStart w:id="0" w:name="_Toc145426669"/>
      <w:bookmarkStart w:id="1" w:name="_Toc211591250"/>
      <w:r w:rsidRPr="000E377B">
        <w:rPr>
          <w:rFonts w:ascii="Arial" w:hAnsi="Arial"/>
        </w:rPr>
        <w:t>Annexe 4 au RC</w:t>
      </w:r>
    </w:p>
    <w:p w14:paraId="11B2406A" w14:textId="77777777" w:rsidR="009403FC" w:rsidRPr="000E377B" w:rsidRDefault="009403FC" w:rsidP="009403FC">
      <w:pPr>
        <w:spacing w:before="0" w:after="200" w:line="276" w:lineRule="auto"/>
        <w:jc w:val="left"/>
        <w:rPr>
          <w:rFonts w:ascii="Arial" w:hAnsi="Arial"/>
          <w:b/>
          <w:bCs/>
          <w:szCs w:val="22"/>
        </w:rPr>
      </w:pPr>
      <w:r w:rsidRPr="000E377B">
        <w:rPr>
          <w:rFonts w:ascii="Arial" w:hAnsi="Arial"/>
          <w:b/>
          <w:szCs w:val="22"/>
        </w:rPr>
        <w:t xml:space="preserve">OBJET : </w:t>
      </w:r>
      <w:sdt>
        <w:sdtPr>
          <w:rPr>
            <w:rFonts w:ascii="Arial" w:hAnsi="Arial"/>
            <w:b/>
            <w:bCs/>
            <w:szCs w:val="22"/>
          </w:rPr>
          <w:id w:val="-1943984965"/>
          <w:placeholder>
            <w:docPart w:val="4E0B6D811C154EB5BA6BAA03EACB282D"/>
          </w:placeholder>
        </w:sdtPr>
        <w:sdtEndPr/>
        <w:sdtContent>
          <w:r w:rsidRPr="000E377B">
            <w:rPr>
              <w:rFonts w:ascii="Arial" w:hAnsi="Arial"/>
              <w:b/>
              <w:bCs/>
              <w:szCs w:val="22"/>
            </w:rPr>
            <w:t xml:space="preserve">Travaux d’entretien de 4 échangeurs à plaques V130 pour la période 2026 – 2029 du site François Mitterrand de la Bibliothèque nationale de France </w:t>
          </w:r>
        </w:sdtContent>
      </w:sdt>
    </w:p>
    <w:p w14:paraId="7E5DD874" w14:textId="77777777" w:rsidR="009403FC" w:rsidRPr="000E377B" w:rsidRDefault="009403FC" w:rsidP="009403FC">
      <w:pPr>
        <w:pStyle w:val="Titre1"/>
        <w:numPr>
          <w:ilvl w:val="0"/>
          <w:numId w:val="0"/>
        </w:numPr>
        <w:spacing w:after="100" w:afterAutospacing="1"/>
        <w:ind w:left="432"/>
        <w:rPr>
          <w:rFonts w:ascii="Arial" w:hAnsi="Arial"/>
        </w:rPr>
      </w:pPr>
    </w:p>
    <w:p w14:paraId="7145D1F3" w14:textId="77777777" w:rsidR="009403FC" w:rsidRPr="000E377B" w:rsidRDefault="009403FC" w:rsidP="009403FC">
      <w:pPr>
        <w:pStyle w:val="Titre1"/>
        <w:numPr>
          <w:ilvl w:val="0"/>
          <w:numId w:val="0"/>
        </w:numPr>
        <w:spacing w:after="100" w:afterAutospacing="1"/>
        <w:ind w:left="432"/>
        <w:rPr>
          <w:rFonts w:ascii="Arial" w:hAnsi="Arial"/>
        </w:rPr>
      </w:pPr>
      <w:r w:rsidRPr="000E377B">
        <w:rPr>
          <w:rFonts w:ascii="Arial" w:hAnsi="Arial"/>
        </w:rPr>
        <w:t>CLAUSE SOCIALE « ACCUEIL STAGIAIRE ECOLE » AU BENEFICE D’ELEVES DE TROISIEME ET DE SECONDE ISSUS D’ETABLISSEMENTS EN ZONE REP, REP+ OU QUARTIERS PRIORITAIRES DE LA POLITIQUE DE LA VILLE</w:t>
      </w:r>
      <w:bookmarkEnd w:id="0"/>
      <w:r w:rsidRPr="000E377B">
        <w:rPr>
          <w:rFonts w:ascii="Arial" w:eastAsia="Times New Roman" w:hAnsi="Arial"/>
          <w:color w:val="auto"/>
          <w:sz w:val="22"/>
          <w:szCs w:val="22"/>
          <w:vertAlign w:val="superscript"/>
        </w:rPr>
        <w:footnoteReference w:id="1"/>
      </w:r>
      <w:bookmarkEnd w:id="1"/>
    </w:p>
    <w:p w14:paraId="1E944234" w14:textId="77777777" w:rsidR="009403FC" w:rsidRPr="000E377B" w:rsidRDefault="000E377B" w:rsidP="009403FC">
      <w:pPr>
        <w:rPr>
          <w:rFonts w:ascii="Arial" w:hAnsi="Arial"/>
          <w:b/>
        </w:rPr>
      </w:pPr>
      <w:r w:rsidRPr="000E377B">
        <w:rPr>
          <w:rFonts w:ascii="Arial" w:hAnsi="Arial"/>
        </w:rPr>
        <w:t xml:space="preserve">Dans le cadre de sa politique d’achats responsables et en faveur de la promotion de la diversité, la BnF offre aux soumissionnaires la possibilité, sur la base du volontariat, de proposer la mise en œuvre d’une clause sociale portant sur l’accueil d’un ou plusieurs stagiaires issus d’établissements de l’enseignement secondaire (niveaux troisième et seconde) situés en zone REP, REP+ ou en quartiers prioritaires de la politique de la ville. </w:t>
      </w:r>
      <w:r w:rsidRPr="000E377B">
        <w:rPr>
          <w:rFonts w:ascii="Arial" w:hAnsi="Arial"/>
          <w:b/>
        </w:rPr>
        <w:t>Cet engagement, s’il est proposé par le candidat, sera examiné et valorisé au titre du sous-critère relatif à l’engagement social dans l’analyse des offres.</w:t>
      </w:r>
    </w:p>
    <w:p w14:paraId="38BC8029" w14:textId="77777777" w:rsidR="000E377B" w:rsidRPr="000E377B" w:rsidRDefault="000E377B" w:rsidP="009403FC">
      <w:pPr>
        <w:rPr>
          <w:rFonts w:ascii="Arial" w:hAnsi="Arial"/>
        </w:rPr>
      </w:pPr>
    </w:p>
    <w:p w14:paraId="328D725F" w14:textId="77777777" w:rsidR="000E377B" w:rsidRPr="000E377B" w:rsidRDefault="000E377B" w:rsidP="009403FC">
      <w:pPr>
        <w:rPr>
          <w:rFonts w:ascii="Arial" w:hAnsi="Arial"/>
        </w:rPr>
      </w:pPr>
      <w:r w:rsidRPr="000E377B">
        <w:rPr>
          <w:rFonts w:ascii="Arial" w:hAnsi="Arial"/>
        </w:rPr>
        <w:t xml:space="preserve">Ainsi, </w:t>
      </w:r>
      <w:r w:rsidRPr="000E377B">
        <w:rPr>
          <w:rFonts w:ascii="Arial" w:hAnsi="Arial"/>
          <w:bCs/>
        </w:rPr>
        <w:t xml:space="preserve">si le titulaire s’est engagé, dans son offre, à accueillir un(e) </w:t>
      </w:r>
      <w:r>
        <w:rPr>
          <w:rFonts w:ascii="Arial" w:hAnsi="Arial"/>
          <w:bCs/>
        </w:rPr>
        <w:t xml:space="preserve">ou plusieurs </w:t>
      </w:r>
      <w:r w:rsidRPr="000E377B">
        <w:rPr>
          <w:rFonts w:ascii="Arial" w:hAnsi="Arial"/>
          <w:bCs/>
        </w:rPr>
        <w:t>élève</w:t>
      </w:r>
      <w:r>
        <w:rPr>
          <w:rFonts w:ascii="Arial" w:hAnsi="Arial"/>
          <w:bCs/>
        </w:rPr>
        <w:t>s</w:t>
      </w:r>
      <w:r w:rsidRPr="000E377B">
        <w:rPr>
          <w:rFonts w:ascii="Arial" w:hAnsi="Arial"/>
          <w:bCs/>
        </w:rPr>
        <w:t xml:space="preserve"> de classe de troisième ou de seconde</w:t>
      </w:r>
      <w:r w:rsidRPr="000E377B">
        <w:rPr>
          <w:rFonts w:ascii="Arial" w:hAnsi="Arial"/>
        </w:rPr>
        <w:t xml:space="preserve">, scolarisé(e) dans un établissement relevant d’un Réseau d’Éducation Prioritaire (REP), d’un Réseau d’Éducation Prioritaire renforcé (REP+), ou situé en quartier prioritaire de la politique de la ville, </w:t>
      </w:r>
      <w:r w:rsidRPr="000E377B">
        <w:rPr>
          <w:rFonts w:ascii="Arial" w:hAnsi="Arial"/>
          <w:bCs/>
        </w:rPr>
        <w:t>il devra respecter les modalités suivantes</w:t>
      </w:r>
      <w:r w:rsidRPr="000E377B">
        <w:rPr>
          <w:rFonts w:ascii="Arial" w:hAnsi="Arial"/>
        </w:rPr>
        <w:t xml:space="preserve"> :</w:t>
      </w:r>
    </w:p>
    <w:p w14:paraId="7769794E" w14:textId="77777777" w:rsidR="009403FC" w:rsidRPr="000E377B" w:rsidRDefault="009403FC" w:rsidP="009403FC">
      <w:pPr>
        <w:spacing w:before="100" w:beforeAutospacing="1" w:after="100" w:afterAutospacing="1"/>
        <w:outlineLvl w:val="3"/>
        <w:rPr>
          <w:rFonts w:ascii="Arial" w:hAnsi="Arial"/>
          <w:b/>
          <w:bCs/>
          <w:u w:val="single"/>
        </w:rPr>
      </w:pPr>
      <w:r w:rsidRPr="000E377B">
        <w:rPr>
          <w:rFonts w:ascii="Arial" w:hAnsi="Arial"/>
          <w:b/>
          <w:bCs/>
          <w:u w:val="single"/>
        </w:rPr>
        <w:t xml:space="preserve">Obligation d’accueil de stagiaire </w:t>
      </w:r>
    </w:p>
    <w:p w14:paraId="245F9A87" w14:textId="77777777" w:rsidR="009403FC" w:rsidRPr="000E377B" w:rsidRDefault="009403FC" w:rsidP="009403FC">
      <w:pPr>
        <w:spacing w:before="100" w:beforeAutospacing="1" w:after="100" w:afterAutospacing="1"/>
        <w:rPr>
          <w:rFonts w:ascii="Arial" w:hAnsi="Arial"/>
          <w:bCs/>
          <w:u w:val="single"/>
        </w:rPr>
      </w:pPr>
      <w:r w:rsidRPr="000E377B">
        <w:rPr>
          <w:rFonts w:ascii="Arial" w:hAnsi="Arial"/>
        </w:rPr>
        <w:t xml:space="preserve">Le titulaire du présent marché s’engage à accueillir </w:t>
      </w:r>
      <w:r w:rsidRPr="000E377B">
        <w:rPr>
          <w:rFonts w:ascii="Arial" w:hAnsi="Arial"/>
          <w:bCs/>
        </w:rPr>
        <w:t>par année d’exécution du marché</w:t>
      </w:r>
      <w:r w:rsidR="000E377B">
        <w:rPr>
          <w:rFonts w:ascii="Arial" w:hAnsi="Arial"/>
          <w:bCs/>
        </w:rPr>
        <w:t xml:space="preserve"> le nombre d’élève mentionné dans son offre,</w:t>
      </w:r>
      <w:r w:rsidRPr="000E377B">
        <w:rPr>
          <w:rFonts w:ascii="Arial" w:hAnsi="Arial"/>
          <w:bCs/>
        </w:rPr>
        <w:t xml:space="preserve"> de classe de troisième ou de seconde, scolarisé(e) dans un établissement classé </w:t>
      </w:r>
      <w:bookmarkStart w:id="2" w:name="_Hlk210207476"/>
      <w:r w:rsidRPr="000E377B">
        <w:rPr>
          <w:rFonts w:ascii="Arial" w:hAnsi="Arial"/>
          <w:bCs/>
        </w:rPr>
        <w:t xml:space="preserve">en Réseau d’Éducation Prioritaire </w:t>
      </w:r>
      <w:bookmarkEnd w:id="2"/>
      <w:r w:rsidRPr="000E377B">
        <w:rPr>
          <w:rFonts w:ascii="Arial" w:hAnsi="Arial"/>
          <w:bCs/>
        </w:rPr>
        <w:t>(REP), ou en Réseau d’Éducation Prioritaire renforcé (REP+) ou quartiers prioritaires de la politique de la ville, pour une période de stage d’observation en milieu professionnel</w:t>
      </w:r>
      <w:r w:rsidRPr="000E377B">
        <w:rPr>
          <w:rFonts w:ascii="Arial" w:hAnsi="Arial"/>
        </w:rPr>
        <w:t>, conformément aux dispositions de l'Éducation nationale.</w:t>
      </w:r>
    </w:p>
    <w:p w14:paraId="02B7E3D2" w14:textId="77777777" w:rsidR="009403FC" w:rsidRPr="000E377B" w:rsidRDefault="009403FC" w:rsidP="009403FC">
      <w:pPr>
        <w:spacing w:before="100" w:beforeAutospacing="1" w:after="100" w:afterAutospacing="1"/>
        <w:rPr>
          <w:rFonts w:ascii="Arial" w:hAnsi="Arial"/>
        </w:rPr>
      </w:pPr>
      <w:r w:rsidRPr="000E377B">
        <w:rPr>
          <w:rFonts w:ascii="Arial" w:hAnsi="Arial"/>
        </w:rPr>
        <w:t>Ce stage devra :</w:t>
      </w:r>
    </w:p>
    <w:p w14:paraId="63AB9A4C" w14:textId="77777777" w:rsidR="009403FC" w:rsidRPr="000E377B" w:rsidRDefault="009403FC" w:rsidP="009403FC">
      <w:pPr>
        <w:pStyle w:val="Paragraphedeliste"/>
        <w:numPr>
          <w:ilvl w:val="0"/>
          <w:numId w:val="7"/>
        </w:numPr>
        <w:spacing w:before="100" w:beforeAutospacing="1" w:after="100" w:afterAutospacing="1"/>
        <w:rPr>
          <w:rFonts w:cs="Arial"/>
          <w:sz w:val="22"/>
          <w:szCs w:val="22"/>
        </w:rPr>
      </w:pPr>
      <w:r w:rsidRPr="000E377B">
        <w:rPr>
          <w:rFonts w:cs="Arial"/>
          <w:sz w:val="22"/>
          <w:szCs w:val="22"/>
        </w:rPr>
        <w:t>Être réalisé au cours de l’année scolaire correspondant à la période d’exécution du marché, y compris en cas de reconduction de celui-ci</w:t>
      </w:r>
    </w:p>
    <w:p w14:paraId="494B397E" w14:textId="77777777" w:rsidR="009403FC" w:rsidRPr="000E377B" w:rsidRDefault="009403FC" w:rsidP="009403FC">
      <w:pPr>
        <w:pStyle w:val="Paragraphedeliste"/>
        <w:numPr>
          <w:ilvl w:val="0"/>
          <w:numId w:val="7"/>
        </w:numPr>
        <w:spacing w:before="100" w:beforeAutospacing="1" w:after="100" w:afterAutospacing="1"/>
        <w:rPr>
          <w:rFonts w:cs="Arial"/>
          <w:sz w:val="22"/>
          <w:szCs w:val="22"/>
        </w:rPr>
      </w:pPr>
      <w:r w:rsidRPr="000E377B">
        <w:rPr>
          <w:rFonts w:cs="Arial"/>
          <w:sz w:val="22"/>
          <w:szCs w:val="22"/>
        </w:rPr>
        <w:t>Avoir une durée conforme aux lois et réglementations en vigueur (1 semaine pour les élèves de troisième / 2 semaines en juin pour les élèves de seconde),</w:t>
      </w:r>
    </w:p>
    <w:p w14:paraId="65E9661F" w14:textId="77777777" w:rsidR="009403FC" w:rsidRPr="000E377B" w:rsidRDefault="009403FC" w:rsidP="009403FC">
      <w:pPr>
        <w:pStyle w:val="Paragraphedeliste"/>
        <w:numPr>
          <w:ilvl w:val="0"/>
          <w:numId w:val="7"/>
        </w:numPr>
        <w:spacing w:before="100" w:beforeAutospacing="1" w:after="100" w:afterAutospacing="1"/>
        <w:rPr>
          <w:rFonts w:cs="Arial"/>
          <w:sz w:val="22"/>
          <w:szCs w:val="22"/>
        </w:rPr>
      </w:pPr>
      <w:r w:rsidRPr="000E377B">
        <w:rPr>
          <w:rFonts w:cs="Arial"/>
          <w:sz w:val="22"/>
          <w:szCs w:val="22"/>
          <w:lang w:eastAsia="zh-CN"/>
        </w:rPr>
        <w:t>Donner lieu à la signature d’une convention de stage tripartite entre l’entreprise titulaire du marché, l’établissement scolaire de rattachement de l’élève et l’élève (ou son représentant légal).</w:t>
      </w:r>
    </w:p>
    <w:p w14:paraId="45FF9AD0" w14:textId="77777777" w:rsidR="009403FC" w:rsidRPr="000E377B" w:rsidRDefault="009403FC" w:rsidP="009403FC">
      <w:pPr>
        <w:pStyle w:val="Paragraphedeliste"/>
        <w:numPr>
          <w:ilvl w:val="0"/>
          <w:numId w:val="7"/>
        </w:numPr>
        <w:spacing w:before="100" w:beforeAutospacing="1" w:after="100" w:afterAutospacing="1"/>
        <w:rPr>
          <w:rFonts w:cs="Arial"/>
          <w:sz w:val="22"/>
          <w:szCs w:val="22"/>
        </w:rPr>
      </w:pPr>
      <w:r w:rsidRPr="000E377B">
        <w:rPr>
          <w:rFonts w:cs="Arial"/>
          <w:sz w:val="22"/>
          <w:szCs w:val="22"/>
        </w:rPr>
        <w:lastRenderedPageBreak/>
        <w:t>Donner lieu à un accompagnement pédagogique adapté</w:t>
      </w:r>
    </w:p>
    <w:p w14:paraId="79E2F873" w14:textId="77777777" w:rsidR="009403FC" w:rsidRPr="000E377B" w:rsidRDefault="009403FC" w:rsidP="009403FC">
      <w:pPr>
        <w:spacing w:before="100" w:beforeAutospacing="1" w:after="100" w:afterAutospacing="1"/>
        <w:rPr>
          <w:rFonts w:ascii="Arial" w:hAnsi="Arial"/>
          <w:b/>
          <w:u w:val="single"/>
        </w:rPr>
      </w:pPr>
      <w:r w:rsidRPr="000E377B">
        <w:rPr>
          <w:rFonts w:ascii="Arial" w:hAnsi="Arial"/>
          <w:b/>
          <w:u w:val="single"/>
        </w:rPr>
        <w:t xml:space="preserve">Précision importante </w:t>
      </w:r>
    </w:p>
    <w:p w14:paraId="13623A48" w14:textId="77777777" w:rsidR="009403FC" w:rsidRPr="000E377B" w:rsidRDefault="009403FC" w:rsidP="009403FC">
      <w:pPr>
        <w:spacing w:before="100" w:beforeAutospacing="1" w:after="100" w:afterAutospacing="1"/>
        <w:rPr>
          <w:rFonts w:ascii="Arial" w:hAnsi="Arial"/>
        </w:rPr>
      </w:pPr>
      <w:r w:rsidRPr="000E377B">
        <w:rPr>
          <w:rFonts w:ascii="Arial" w:hAnsi="Arial"/>
        </w:rPr>
        <w:t>L’activité du stagiaire n’a pas besoin d’être en lien direct avec l’exécution du marché. Le stage peut concerner toute activité exercée par l’entreprise titulaire, dans l’un de ses services, agences, ou établissements.</w:t>
      </w:r>
    </w:p>
    <w:p w14:paraId="3A62A237" w14:textId="77777777" w:rsidR="009403FC" w:rsidRPr="000E377B" w:rsidRDefault="009403FC" w:rsidP="009403FC">
      <w:pPr>
        <w:spacing w:before="100" w:beforeAutospacing="1" w:after="100" w:afterAutospacing="1"/>
        <w:outlineLvl w:val="3"/>
        <w:rPr>
          <w:rFonts w:ascii="Arial" w:hAnsi="Arial"/>
          <w:b/>
          <w:bCs/>
          <w:u w:val="single"/>
        </w:rPr>
      </w:pPr>
      <w:r w:rsidRPr="000E377B">
        <w:rPr>
          <w:rFonts w:ascii="Arial" w:hAnsi="Arial"/>
          <w:b/>
          <w:bCs/>
          <w:u w:val="single"/>
        </w:rPr>
        <w:t xml:space="preserve">Modalités de mise en œuvre </w:t>
      </w:r>
    </w:p>
    <w:p w14:paraId="74F5EB73" w14:textId="77777777" w:rsidR="009403FC" w:rsidRPr="000E377B" w:rsidRDefault="009403FC" w:rsidP="009403FC">
      <w:pPr>
        <w:spacing w:before="100" w:beforeAutospacing="1" w:after="100" w:afterAutospacing="1"/>
        <w:outlineLvl w:val="3"/>
        <w:rPr>
          <w:rFonts w:ascii="Arial" w:hAnsi="Arial"/>
          <w:bCs/>
        </w:rPr>
      </w:pPr>
      <w:r w:rsidRPr="000E377B">
        <w:rPr>
          <w:rFonts w:ascii="Arial" w:hAnsi="Arial"/>
          <w:bCs/>
        </w:rPr>
        <w:t>Le titulaire s’engage à :</w:t>
      </w:r>
    </w:p>
    <w:p w14:paraId="195681F5" w14:textId="77777777" w:rsidR="009403FC" w:rsidRPr="000E377B" w:rsidRDefault="009403FC" w:rsidP="009403FC">
      <w:pPr>
        <w:numPr>
          <w:ilvl w:val="0"/>
          <w:numId w:val="5"/>
        </w:numPr>
        <w:spacing w:before="100" w:beforeAutospacing="1" w:after="100" w:afterAutospacing="1"/>
        <w:jc w:val="left"/>
        <w:rPr>
          <w:rFonts w:ascii="Arial" w:hAnsi="Arial"/>
        </w:rPr>
      </w:pPr>
      <w:r w:rsidRPr="000E377B">
        <w:rPr>
          <w:rFonts w:ascii="Arial" w:hAnsi="Arial"/>
        </w:rPr>
        <w:t xml:space="preserve">Indiquer dans le mémoire technique les coordonnées de la personne référente pour l’accueil du stagiaire </w:t>
      </w:r>
    </w:p>
    <w:p w14:paraId="26C44C21" w14:textId="77777777" w:rsidR="009403FC" w:rsidRPr="000E377B" w:rsidRDefault="009403FC" w:rsidP="009403FC">
      <w:pPr>
        <w:numPr>
          <w:ilvl w:val="0"/>
          <w:numId w:val="5"/>
        </w:numPr>
        <w:spacing w:before="100" w:beforeAutospacing="1" w:after="100" w:afterAutospacing="1"/>
        <w:jc w:val="left"/>
        <w:rPr>
          <w:rFonts w:ascii="Arial" w:hAnsi="Arial"/>
        </w:rPr>
      </w:pPr>
      <w:r w:rsidRPr="000E377B">
        <w:rPr>
          <w:rFonts w:ascii="Arial" w:hAnsi="Arial"/>
        </w:rPr>
        <w:t>Sélectionner, accueillir et accompagner l’élève stagiaire,</w:t>
      </w:r>
    </w:p>
    <w:p w14:paraId="53A94356" w14:textId="77777777" w:rsidR="009403FC" w:rsidRPr="000E377B" w:rsidRDefault="009403FC" w:rsidP="009403FC">
      <w:pPr>
        <w:numPr>
          <w:ilvl w:val="0"/>
          <w:numId w:val="5"/>
        </w:numPr>
        <w:spacing w:before="100" w:beforeAutospacing="1" w:after="100" w:afterAutospacing="1"/>
        <w:jc w:val="left"/>
        <w:rPr>
          <w:rFonts w:ascii="Arial" w:hAnsi="Arial"/>
        </w:rPr>
      </w:pPr>
      <w:r w:rsidRPr="000E377B">
        <w:rPr>
          <w:rFonts w:ascii="Arial" w:hAnsi="Arial"/>
        </w:rPr>
        <w:t xml:space="preserve">Transmettre une copie de la convention de stage </w:t>
      </w:r>
      <w:r w:rsidRPr="000E377B">
        <w:rPr>
          <w:rFonts w:ascii="Arial" w:hAnsi="Arial"/>
          <w:b/>
          <w:u w:val="single"/>
        </w:rPr>
        <w:t>anonymisée</w:t>
      </w:r>
      <w:r w:rsidRPr="000E377B">
        <w:rPr>
          <w:rStyle w:val="Appelnotedebasdep"/>
          <w:rFonts w:ascii="Arial" w:hAnsi="Arial"/>
        </w:rPr>
        <w:footnoteReference w:id="2"/>
      </w:r>
      <w:r w:rsidRPr="000E377B">
        <w:rPr>
          <w:rFonts w:ascii="Arial" w:hAnsi="Arial"/>
        </w:rPr>
        <w:t xml:space="preserve"> dans un délai de 15 jours ouvrés à compter de la fin de réalisation du stage </w:t>
      </w:r>
    </w:p>
    <w:p w14:paraId="1F8920AC" w14:textId="77777777" w:rsidR="009403FC" w:rsidRPr="000E377B" w:rsidRDefault="009403FC" w:rsidP="009403FC">
      <w:pPr>
        <w:rPr>
          <w:rFonts w:ascii="Arial" w:hAnsi="Arial"/>
          <w:sz w:val="14"/>
        </w:rPr>
      </w:pPr>
    </w:p>
    <w:p w14:paraId="6AB72592" w14:textId="77777777" w:rsidR="009403FC" w:rsidRPr="000E377B" w:rsidRDefault="009403FC" w:rsidP="009403FC">
      <w:pPr>
        <w:ind w:right="-23"/>
        <w:rPr>
          <w:rFonts w:ascii="Arial" w:hAnsi="Arial"/>
          <w:szCs w:val="22"/>
        </w:rPr>
      </w:pPr>
    </w:p>
    <w:p w14:paraId="2E0F09B5" w14:textId="706B94A6" w:rsidR="009403FC" w:rsidRPr="000E377B" w:rsidRDefault="009403FC" w:rsidP="00BC293D">
      <w:pPr>
        <w:spacing w:before="0" w:after="200" w:line="276" w:lineRule="auto"/>
        <w:jc w:val="left"/>
        <w:rPr>
          <w:rFonts w:ascii="Arial" w:hAnsi="Arial"/>
          <w:b/>
          <w:iCs/>
          <w:szCs w:val="22"/>
        </w:rPr>
      </w:pPr>
      <w:r w:rsidRPr="000E377B">
        <w:rPr>
          <w:rFonts w:ascii="Arial" w:hAnsi="Arial"/>
        </w:rPr>
        <w:br w:type="page"/>
      </w:r>
      <w:bookmarkStart w:id="3" w:name="_GoBack"/>
      <w:bookmarkEnd w:id="3"/>
    </w:p>
    <w:p w14:paraId="11F4306F" w14:textId="77777777" w:rsidR="00734C19" w:rsidRPr="000E377B" w:rsidRDefault="00734C19">
      <w:pPr>
        <w:rPr>
          <w:rFonts w:ascii="Arial" w:hAnsi="Arial"/>
        </w:rPr>
      </w:pPr>
    </w:p>
    <w:sectPr w:rsidR="00734C19" w:rsidRPr="000E3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F12F21" w14:textId="77777777" w:rsidR="00416966" w:rsidRDefault="00416966" w:rsidP="009403FC">
      <w:pPr>
        <w:spacing w:before="0" w:after="0"/>
      </w:pPr>
      <w:r>
        <w:separator/>
      </w:r>
    </w:p>
  </w:endnote>
  <w:endnote w:type="continuationSeparator" w:id="0">
    <w:p w14:paraId="5A978210" w14:textId="77777777" w:rsidR="00416966" w:rsidRDefault="00416966" w:rsidP="009403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porateSBQ">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1F1690" w14:textId="77777777" w:rsidR="00416966" w:rsidRDefault="00416966" w:rsidP="009403FC">
      <w:pPr>
        <w:spacing w:before="0" w:after="0"/>
      </w:pPr>
      <w:r>
        <w:separator/>
      </w:r>
    </w:p>
  </w:footnote>
  <w:footnote w:type="continuationSeparator" w:id="0">
    <w:p w14:paraId="7E9A90D4" w14:textId="77777777" w:rsidR="00416966" w:rsidRDefault="00416966" w:rsidP="009403FC">
      <w:pPr>
        <w:spacing w:before="0" w:after="0"/>
      </w:pPr>
      <w:r>
        <w:continuationSeparator/>
      </w:r>
    </w:p>
  </w:footnote>
  <w:footnote w:id="1">
    <w:p w14:paraId="5D6DF62D" w14:textId="77777777" w:rsidR="009403FC" w:rsidRDefault="009403FC" w:rsidP="009403FC">
      <w:pPr>
        <w:pStyle w:val="Notedebasdepage"/>
      </w:pPr>
      <w:r>
        <w:rPr>
          <w:rStyle w:val="Appelnotedebasdep"/>
        </w:rPr>
        <w:footnoteRef/>
      </w:r>
      <w:r>
        <w:t xml:space="preserve"> </w:t>
      </w:r>
      <w:r w:rsidRPr="005A7E9D">
        <w:t>Les établissements relevant d’une zone REP ou REP+ sont définis par arrêté ministériel. La liste officielle peut être consultée sur le site du ministère de l’Éducation nationale.</w:t>
      </w:r>
    </w:p>
    <w:p w14:paraId="5E89F4D6" w14:textId="77777777" w:rsidR="009403FC" w:rsidRDefault="009403FC" w:rsidP="009403FC">
      <w:pPr>
        <w:pStyle w:val="Notedebasdepage"/>
      </w:pPr>
      <w:r>
        <w:t xml:space="preserve"> </w:t>
      </w:r>
      <w:hyperlink r:id="rId1" w:history="1">
        <w:r w:rsidRPr="00097C6B">
          <w:rPr>
            <w:rStyle w:val="Lienhypertexte"/>
          </w:rPr>
          <w:t>https://data.education.gouv.fr/explore/dataset/fr-en-etablissements-ep/table/?disjunctive.ep_2022_2023&amp;disjunctive.uai_tete_de_reseau&amp;disjunctive.libelle_region&amp;disjunctive.libelle_academie&amp;disjunctive.libelle_departement&amp;disjunctive.nom_commune&amp;disjunctive.type_etablissement&amp;disjunctive.qp_a_proximite_o_n</w:t>
        </w:r>
      </w:hyperlink>
    </w:p>
    <w:p w14:paraId="6D82A36F" w14:textId="77777777" w:rsidR="009403FC" w:rsidRDefault="009403FC" w:rsidP="009403FC">
      <w:pPr>
        <w:pStyle w:val="Notedebasdepage"/>
      </w:pPr>
    </w:p>
  </w:footnote>
  <w:footnote w:id="2">
    <w:p w14:paraId="47C4D687" w14:textId="77777777" w:rsidR="009403FC" w:rsidRPr="007651E0" w:rsidRDefault="009403FC" w:rsidP="009403FC">
      <w:pPr>
        <w:pStyle w:val="Notedebasdepage"/>
        <w:rPr>
          <w:sz w:val="16"/>
        </w:rPr>
      </w:pPr>
      <w:r>
        <w:rPr>
          <w:rStyle w:val="Appelnotedebasdep"/>
        </w:rPr>
        <w:footnoteRef/>
      </w:r>
      <w:r>
        <w:t xml:space="preserve"> </w:t>
      </w:r>
      <w:r w:rsidRPr="007651E0">
        <w:rPr>
          <w:sz w:val="14"/>
        </w:rPr>
        <w:t>La convention transmise étant anonymisée, le document transmis ne constitue pas un traitement de données à caractère personnel au sens du Règlement général sur la protection des données (Règlement UE 2016/679)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5AAC6D8"/>
    <w:lvl w:ilvl="0">
      <w:numFmt w:val="bullet"/>
      <w:lvlText w:val="*"/>
      <w:lvlJc w:val="left"/>
    </w:lvl>
  </w:abstractNum>
  <w:abstractNum w:abstractNumId="1" w15:restartNumberingAfterBreak="0">
    <w:nsid w:val="264E3841"/>
    <w:multiLevelType w:val="hybridMultilevel"/>
    <w:tmpl w:val="93BAE9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1A5AA8"/>
    <w:multiLevelType w:val="multilevel"/>
    <w:tmpl w:val="64EC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2"/>
  </w:num>
  <w:num w:numId="5">
    <w:abstractNumId w:val="6"/>
  </w:num>
  <w:num w:numId="6">
    <w:abstractNumId w:val="0"/>
    <w:lvlOverride w:ilvl="0">
      <w:lvl w:ilvl="0">
        <w:numFmt w:val="bullet"/>
        <w:lvlText w:val=""/>
        <w:legacy w:legacy="1" w:legacySpace="0" w:legacyIndent="0"/>
        <w:lvlJc w:val="left"/>
        <w:rPr>
          <w:rFonts w:ascii="Symbol" w:hAnsi="Symbol" w:hint="default"/>
          <w:sz w:val="22"/>
        </w:rPr>
      </w:lvl>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FC"/>
    <w:rsid w:val="000E377B"/>
    <w:rsid w:val="00416966"/>
    <w:rsid w:val="00734C19"/>
    <w:rsid w:val="009403FC"/>
    <w:rsid w:val="00BC29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AB38F"/>
  <w15:chartTrackingRefBased/>
  <w15:docId w15:val="{9FCF0547-7584-44AE-A3F4-CAEFBB031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03FC"/>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403FC"/>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Titre 2 "/>
    <w:basedOn w:val="Normal"/>
    <w:next w:val="Normal"/>
    <w:link w:val="Titre2Car"/>
    <w:unhideWhenUsed/>
    <w:qFormat/>
    <w:rsid w:val="009403FC"/>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9403FC"/>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9403FC"/>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9403FC"/>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9403FC"/>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9403FC"/>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9403FC"/>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9403FC"/>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403FC"/>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Titre 2  Car"/>
    <w:basedOn w:val="Policepardfaut"/>
    <w:link w:val="Titre2"/>
    <w:uiPriority w:val="9"/>
    <w:rsid w:val="009403FC"/>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uiPriority w:val="9"/>
    <w:rsid w:val="009403FC"/>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uiPriority w:val="9"/>
    <w:rsid w:val="009403FC"/>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uiPriority w:val="9"/>
    <w:rsid w:val="009403FC"/>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uiPriority w:val="9"/>
    <w:rsid w:val="009403FC"/>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uiPriority w:val="9"/>
    <w:rsid w:val="009403FC"/>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uiPriority w:val="9"/>
    <w:rsid w:val="009403FC"/>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uiPriority w:val="9"/>
    <w:rsid w:val="009403FC"/>
    <w:rPr>
      <w:rFonts w:asciiTheme="majorHAnsi" w:eastAsiaTheme="majorEastAsia" w:hAnsiTheme="majorHAnsi" w:cstheme="majorBidi"/>
      <w:i/>
      <w:iCs/>
      <w:color w:val="404040" w:themeColor="text1" w:themeTint="BF"/>
      <w:szCs w:val="20"/>
      <w:lang w:eastAsia="fr-FR"/>
    </w:rPr>
  </w:style>
  <w:style w:type="character" w:styleId="Lienhypertexte">
    <w:name w:val="Hyperlink"/>
    <w:basedOn w:val="Policepardfaut"/>
    <w:uiPriority w:val="99"/>
    <w:unhideWhenUsed/>
    <w:rsid w:val="009403FC"/>
    <w:rPr>
      <w:color w:val="0000FF" w:themeColor="hyperlink"/>
      <w:u w:val="single"/>
    </w:rPr>
  </w:style>
  <w:style w:type="paragraph" w:styleId="Notedebasdepage">
    <w:name w:val="footnote text"/>
    <w:basedOn w:val="Normal"/>
    <w:link w:val="NotedebasdepageCar"/>
    <w:unhideWhenUsed/>
    <w:rsid w:val="009403FC"/>
    <w:pPr>
      <w:spacing w:before="0" w:after="0"/>
    </w:pPr>
    <w:rPr>
      <w:sz w:val="20"/>
    </w:rPr>
  </w:style>
  <w:style w:type="character" w:customStyle="1" w:styleId="NotedebasdepageCar">
    <w:name w:val="Note de bas de page Car"/>
    <w:basedOn w:val="Policepardfaut"/>
    <w:link w:val="Notedebasdepage"/>
    <w:rsid w:val="009403FC"/>
    <w:rPr>
      <w:rFonts w:ascii="Times New Roman" w:eastAsia="Times New Roman" w:hAnsi="Times New Roman" w:cs="Arial"/>
      <w:sz w:val="20"/>
      <w:szCs w:val="20"/>
      <w:lang w:eastAsia="fr-FR"/>
    </w:rPr>
  </w:style>
  <w:style w:type="character" w:styleId="Appelnotedebasdep">
    <w:name w:val="footnote reference"/>
    <w:basedOn w:val="Policepardfaut"/>
    <w:unhideWhenUsed/>
    <w:rsid w:val="009403FC"/>
    <w:rPr>
      <w:vertAlign w:val="superscript"/>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99"/>
    <w:qFormat/>
    <w:rsid w:val="009403FC"/>
    <w:pPr>
      <w:spacing w:before="0" w:after="0"/>
      <w:ind w:left="720"/>
      <w:contextualSpacing/>
    </w:pPr>
    <w:rPr>
      <w:rFonts w:ascii="Arial" w:hAnsi="Arial" w:cs="Times New Roman"/>
      <w:sz w:val="20"/>
      <w:shd w:val="clear" w:color="auto" w:fill="auto"/>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link w:val="Paragraphedeliste"/>
    <w:uiPriority w:val="99"/>
    <w:qFormat/>
    <w:rsid w:val="009403FC"/>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0E377B"/>
    <w:rPr>
      <w:sz w:val="16"/>
      <w:szCs w:val="16"/>
    </w:rPr>
  </w:style>
  <w:style w:type="paragraph" w:styleId="Commentaire">
    <w:name w:val="annotation text"/>
    <w:basedOn w:val="Normal"/>
    <w:link w:val="CommentaireCar"/>
    <w:uiPriority w:val="99"/>
    <w:semiHidden/>
    <w:unhideWhenUsed/>
    <w:rsid w:val="000E377B"/>
    <w:rPr>
      <w:sz w:val="20"/>
    </w:rPr>
  </w:style>
  <w:style w:type="character" w:customStyle="1" w:styleId="CommentaireCar">
    <w:name w:val="Commentaire Car"/>
    <w:basedOn w:val="Policepardfaut"/>
    <w:link w:val="Commentaire"/>
    <w:uiPriority w:val="99"/>
    <w:semiHidden/>
    <w:rsid w:val="000E377B"/>
    <w:rPr>
      <w:rFonts w:ascii="Times New Roman" w:eastAsia="Times New Roman" w:hAnsi="Times New Roman"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0E377B"/>
    <w:rPr>
      <w:b/>
      <w:bCs/>
    </w:rPr>
  </w:style>
  <w:style w:type="character" w:customStyle="1" w:styleId="ObjetducommentaireCar">
    <w:name w:val="Objet du commentaire Car"/>
    <w:basedOn w:val="CommentaireCar"/>
    <w:link w:val="Objetducommentaire"/>
    <w:uiPriority w:val="99"/>
    <w:semiHidden/>
    <w:rsid w:val="000E377B"/>
    <w:rPr>
      <w:rFonts w:ascii="Times New Roman" w:eastAsia="Times New Roman" w:hAnsi="Times New Roman" w:cs="Arial"/>
      <w:b/>
      <w:bCs/>
      <w:sz w:val="20"/>
      <w:szCs w:val="20"/>
      <w:lang w:eastAsia="fr-FR"/>
    </w:rPr>
  </w:style>
  <w:style w:type="paragraph" w:styleId="Textedebulles">
    <w:name w:val="Balloon Text"/>
    <w:basedOn w:val="Normal"/>
    <w:link w:val="TextedebullesCar"/>
    <w:uiPriority w:val="99"/>
    <w:semiHidden/>
    <w:unhideWhenUsed/>
    <w:rsid w:val="000E377B"/>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377B"/>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ata.education.gouv.fr/explore/dataset/fr-en-etablissements-ep/table/?disjunctive.ep_2022_2023&amp;disjunctive.uai_tete_de_reseau&amp;disjunctive.libelle_region&amp;disjunctive.libelle_academie&amp;disjunctive.libelle_departement&amp;disjunctive.nom_commune&amp;disjunctive.type_etablissement&amp;disjunctive.qp_a_proximite_o_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0B6D811C154EB5BA6BAA03EACB282D"/>
        <w:category>
          <w:name w:val="Général"/>
          <w:gallery w:val="placeholder"/>
        </w:category>
        <w:types>
          <w:type w:val="bbPlcHdr"/>
        </w:types>
        <w:behaviors>
          <w:behavior w:val="content"/>
        </w:behaviors>
        <w:guid w:val="{88D9F074-44BD-46CF-9B5A-703497E80EC2}"/>
      </w:docPartPr>
      <w:docPartBody>
        <w:p w:rsidR="008B3625" w:rsidRDefault="00F23FC7" w:rsidP="00F23FC7">
          <w:pPr>
            <w:pStyle w:val="4E0B6D811C154EB5BA6BAA03EACB282D"/>
          </w:pPr>
          <w:r w:rsidRPr="00AB30BC">
            <w:rPr>
              <w:rStyle w:val="Textedelespacerserv"/>
              <w:rFonts w:eastAsiaTheme="minorHAnsi"/>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porateSBQ">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C7"/>
    <w:rsid w:val="00293296"/>
    <w:rsid w:val="008B3625"/>
    <w:rsid w:val="00F23F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23FC7"/>
    <w:rPr>
      <w:color w:val="808080"/>
    </w:rPr>
  </w:style>
  <w:style w:type="paragraph" w:customStyle="1" w:styleId="A0C45ED5B1F4497E9D500688844E8E5A">
    <w:name w:val="A0C45ED5B1F4497E9D500688844E8E5A"/>
    <w:rsid w:val="00F23FC7"/>
  </w:style>
  <w:style w:type="paragraph" w:customStyle="1" w:styleId="4E0B6D811C154EB5BA6BAA03EACB282D">
    <w:name w:val="4E0B6D811C154EB5BA6BAA03EACB282D"/>
    <w:rsid w:val="00F23F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462</Words>
  <Characters>2547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Imane SEFFAR-LEGROUNE</dc:creator>
  <cp:keywords/>
  <dc:description/>
  <cp:lastModifiedBy>Imane SEFFAR-LEGROUNE</cp:lastModifiedBy>
  <cp:revision>2</cp:revision>
  <dcterms:created xsi:type="dcterms:W3CDTF">2025-10-20T11:53:00Z</dcterms:created>
  <dcterms:modified xsi:type="dcterms:W3CDTF">2025-10-24T06:35:00Z</dcterms:modified>
</cp:coreProperties>
</file>